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C0FD" w14:textId="49C71D2E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Praha, 10. září 2025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7C428F49" w14:textId="17F07927" w:rsidR="00F21306" w:rsidRDefault="00F21306" w:rsidP="00F2130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  <w:sz w:val="32"/>
          <w:szCs w:val="32"/>
        </w:rPr>
        <w:t>Skleněná plastika MEANDR od Matěje Hájka propojuje architekturu Vanguardu s říční krajinou Vltavy</w:t>
      </w:r>
      <w:r>
        <w:rPr>
          <w:rStyle w:val="eop"/>
          <w:rFonts w:ascii="Aptos" w:hAnsi="Aptos" w:cs="Segoe UI"/>
          <w:color w:val="000000"/>
          <w:sz w:val="32"/>
          <w:szCs w:val="32"/>
        </w:rPr>
        <w:t> </w:t>
      </w:r>
    </w:p>
    <w:p w14:paraId="63EE71C9" w14:textId="704BEC6A" w:rsidR="00F21306" w:rsidRDefault="00F21306" w:rsidP="00F2130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</w:rPr>
        <w:t>Do prostor prémiového rezidenčního projektu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Vanguard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byla v červenci 2025 instalována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světelná plastika MEANDR, autorský reliéf z lehaného skla navržený sochařem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Matějem Hájkem. Dílo vzniklo na zakázku společnosti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PSN, která stojí za konverzí bývalé továrny Microna v pražských Modřanech na nadčasové loftové bydlení. Instalace MEANDRu je výsledkem spolupráce se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SKULL studiem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a</w:t>
      </w:r>
      <w:r>
        <w:rPr>
          <w:rStyle w:val="normaltextrun"/>
          <w:rFonts w:ascii="Arial" w:hAnsi="Arial" w:cs="Arial"/>
          <w:b/>
          <w:bCs/>
          <w:color w:val="000000"/>
        </w:rPr>
        <w:t> </w:t>
      </w:r>
      <w:r>
        <w:rPr>
          <w:rStyle w:val="normaltextrun"/>
          <w:rFonts w:ascii="Aptos" w:hAnsi="Aptos" w:cs="Segoe UI"/>
          <w:b/>
          <w:bCs/>
          <w:color w:val="000000"/>
        </w:rPr>
        <w:t>Lasvit Fusing.</w:t>
      </w:r>
      <w:r>
        <w:rPr>
          <w:rStyle w:val="eop"/>
          <w:rFonts w:ascii="Aptos" w:hAnsi="Aptos" w:cs="Segoe UI"/>
          <w:color w:val="000000"/>
        </w:rPr>
        <w:t> </w:t>
      </w:r>
    </w:p>
    <w:p w14:paraId="2A65AD46" w14:textId="7B423320" w:rsidR="00F21306" w:rsidRDefault="0047304E" w:rsidP="00F2130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ptos" w:hAnsi="Aptos" w:cs="Segoe U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187095B" wp14:editId="4E20AA8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338580" cy="1914525"/>
            <wp:effectExtent l="0" t="0" r="0" b="0"/>
            <wp:wrapTight wrapText="bothSides">
              <wp:wrapPolygon edited="0">
                <wp:start x="0" y="0"/>
                <wp:lineTo x="0" y="21278"/>
                <wp:lineTo x="21211" y="21278"/>
                <wp:lineTo x="21211" y="0"/>
                <wp:lineTo x="0" y="0"/>
              </wp:wrapPolygon>
            </wp:wrapTight>
            <wp:docPr id="2245667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66749" name="Obrázek 224566749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57" cy="1916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306">
        <w:rPr>
          <w:rStyle w:val="normaltextrun"/>
          <w:rFonts w:ascii="Aptos" w:hAnsi="Aptos" w:cs="Segoe UI"/>
          <w:color w:val="000000"/>
        </w:rPr>
        <w:t>Plastika MEANDR je umístěna ve stropě nad bazénem wellness zóny v někdejším krytu civilní obrany v podzemních podlažích budovy. Jako motiv si nese reliéf</w:t>
      </w:r>
      <w:r w:rsidR="00F21306">
        <w:rPr>
          <w:rStyle w:val="normaltextrun"/>
          <w:rFonts w:ascii="Arial" w:hAnsi="Arial" w:cs="Arial"/>
          <w:color w:val="000000"/>
        </w:rPr>
        <w:t> </w:t>
      </w:r>
      <w:r w:rsidR="00F21306">
        <w:rPr>
          <w:rStyle w:val="normaltextrun"/>
          <w:rFonts w:ascii="Aptos" w:hAnsi="Aptos" w:cs="Segoe UI"/>
          <w:color w:val="000000"/>
        </w:rPr>
        <w:t>koryta řeky Vltavy u Vraného nad Vltavou</w:t>
      </w:r>
      <w:r w:rsidR="00F21306">
        <w:rPr>
          <w:rStyle w:val="normaltextrun"/>
          <w:rFonts w:ascii="Arial" w:hAnsi="Arial" w:cs="Arial"/>
          <w:color w:val="000000"/>
        </w:rPr>
        <w:t> </w:t>
      </w:r>
      <w:r w:rsidR="00F21306">
        <w:rPr>
          <w:rStyle w:val="normaltextrun"/>
          <w:rFonts w:ascii="Aptos" w:hAnsi="Aptos" w:cs="Segoe UI"/>
          <w:color w:val="000000"/>
        </w:rPr>
        <w:t>– tedy krajinu, kterou lze zahlédnout z nejvyšších pater Vanguardu. Tvarosloví plastiky pracuje s tématem paměti a krajiny. Do interiéru přináší krajinnou situaci abstrahovanou do světelné sochy z vrstveného skla.</w:t>
      </w:r>
      <w:r w:rsidR="00F21306">
        <w:rPr>
          <w:rStyle w:val="eop"/>
          <w:rFonts w:ascii="Aptos" w:hAnsi="Aptos" w:cs="Segoe UI"/>
          <w:color w:val="000000"/>
        </w:rPr>
        <w:t> </w:t>
      </w:r>
    </w:p>
    <w:p w14:paraId="56997DC8" w14:textId="3311ABBE" w:rsidR="00F21306" w:rsidRDefault="00F21306" w:rsidP="00F2130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i/>
          <w:iCs/>
          <w:color w:val="000000"/>
        </w:rPr>
        <w:t>„Krajina je alegorií paměti. Výrazné krajinné znaky, na kterých ulpí zrak, uvíznou ve vzpomínce. Říční koryto určuje ráz okolí Vanguardu – vertikály v údolí Vltavy. Plastika MEANDR přenáší krajinu do interiéru a rozvíjí kontrast mezi představou a</w:t>
      </w:r>
      <w:r w:rsidR="00422B12">
        <w:rPr>
          <w:rStyle w:val="normaltextrun"/>
          <w:rFonts w:ascii="Aptos" w:hAnsi="Aptos" w:cs="Segoe UI"/>
          <w:i/>
          <w:iCs/>
          <w:color w:val="000000"/>
        </w:rPr>
        <w:t> </w:t>
      </w:r>
      <w:r>
        <w:rPr>
          <w:rStyle w:val="normaltextrun"/>
          <w:rFonts w:ascii="Aptos" w:hAnsi="Aptos" w:cs="Segoe UI"/>
          <w:i/>
          <w:iCs/>
          <w:color w:val="000000"/>
        </w:rPr>
        <w:t>skutečností,“</w:t>
      </w:r>
      <w:r>
        <w:rPr>
          <w:rStyle w:val="scxw101899781"/>
          <w:rFonts w:ascii="Aptos" w:hAnsi="Aptos" w:cs="Segoe UI"/>
          <w:color w:val="000000"/>
        </w:rPr>
        <w:t> </w:t>
      </w:r>
      <w:r>
        <w:rPr>
          <w:rStyle w:val="normaltextrun"/>
          <w:rFonts w:ascii="Aptos" w:hAnsi="Aptos" w:cs="Segoe UI"/>
          <w:color w:val="000000"/>
        </w:rPr>
        <w:t>vysvětluje autor díla,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normaltextrun"/>
          <w:rFonts w:ascii="Aptos" w:hAnsi="Aptos" w:cs="Segoe UI"/>
          <w:color w:val="000000"/>
        </w:rPr>
        <w:t>sochař Matěj Hájek.</w:t>
      </w:r>
      <w:r>
        <w:rPr>
          <w:rStyle w:val="eop"/>
          <w:rFonts w:ascii="Aptos" w:hAnsi="Aptos" w:cs="Segoe UI"/>
          <w:color w:val="000000"/>
        </w:rPr>
        <w:t> </w:t>
      </w:r>
    </w:p>
    <w:p w14:paraId="68ABDD0A" w14:textId="55DE84BB" w:rsidR="00F21306" w:rsidRDefault="00422B12" w:rsidP="00F2130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ptos" w:hAnsi="Aptos" w:cs="Segoe U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BDF5810" wp14:editId="5259D1B5">
            <wp:simplePos x="0" y="0"/>
            <wp:positionH relativeFrom="margin">
              <wp:posOffset>4737100</wp:posOffset>
            </wp:positionH>
            <wp:positionV relativeFrom="paragraph">
              <wp:posOffset>15875</wp:posOffset>
            </wp:positionV>
            <wp:extent cx="101282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126" y="21327"/>
                <wp:lineTo x="21126" y="0"/>
                <wp:lineTo x="0" y="0"/>
              </wp:wrapPolygon>
            </wp:wrapTight>
            <wp:docPr id="18918503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50324" name="Obrázek 1891850324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306">
        <w:rPr>
          <w:rStyle w:val="normaltextrun"/>
          <w:rFonts w:ascii="Aptos" w:hAnsi="Aptos" w:cs="Segoe UI"/>
          <w:color w:val="000000"/>
        </w:rPr>
        <w:t>Reliéf vznikl lehaním skla do formy a díky preciznímu podsvícení působí jako krajinná mapa pozorovaná z výšky. Prostorová kompozice nad hladinou bazénu přirozeně navazuje na koncept celého projektu Vanguard, který propojuje industriální minulost s</w:t>
      </w:r>
      <w:r w:rsidR="00243DEA">
        <w:rPr>
          <w:rStyle w:val="normaltextrun"/>
          <w:rFonts w:ascii="Aptos" w:hAnsi="Aptos" w:cs="Segoe UI"/>
          <w:color w:val="000000"/>
        </w:rPr>
        <w:t> </w:t>
      </w:r>
      <w:r w:rsidR="00F21306">
        <w:rPr>
          <w:rStyle w:val="normaltextrun"/>
          <w:rFonts w:ascii="Aptos" w:hAnsi="Aptos" w:cs="Segoe UI"/>
          <w:color w:val="000000"/>
        </w:rPr>
        <w:t>novou vrstvou designového a funkčního bydlení.</w:t>
      </w:r>
      <w:r w:rsidR="00F21306">
        <w:rPr>
          <w:rStyle w:val="eop"/>
          <w:rFonts w:ascii="Aptos" w:hAnsi="Aptos" w:cs="Segoe UI"/>
          <w:color w:val="000000"/>
        </w:rPr>
        <w:t> </w:t>
      </w:r>
    </w:p>
    <w:p w14:paraId="356C88F6" w14:textId="60771254" w:rsidR="00F21306" w:rsidRDefault="00422B12" w:rsidP="00F2130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ptos" w:hAnsi="Aptos" w:cs="Segoe U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48AEF145" wp14:editId="53071913">
            <wp:simplePos x="0" y="0"/>
            <wp:positionH relativeFrom="margin">
              <wp:align>left</wp:align>
            </wp:positionH>
            <wp:positionV relativeFrom="paragraph">
              <wp:posOffset>433070</wp:posOffset>
            </wp:positionV>
            <wp:extent cx="1708785" cy="1352550"/>
            <wp:effectExtent l="0" t="0" r="5715" b="0"/>
            <wp:wrapTight wrapText="bothSides">
              <wp:wrapPolygon edited="0">
                <wp:start x="0" y="0"/>
                <wp:lineTo x="0" y="21296"/>
                <wp:lineTo x="21431" y="21296"/>
                <wp:lineTo x="21431" y="0"/>
                <wp:lineTo x="0" y="0"/>
              </wp:wrapPolygon>
            </wp:wrapTight>
            <wp:docPr id="100509039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90392" name="Obrázek 1005090392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306">
        <w:rPr>
          <w:rStyle w:val="normaltextrun"/>
          <w:rFonts w:ascii="Aptos" w:hAnsi="Aptos" w:cs="Segoe UI"/>
          <w:color w:val="000000"/>
        </w:rPr>
        <w:t>Projekt</w:t>
      </w:r>
      <w:r w:rsidR="00F21306">
        <w:rPr>
          <w:rStyle w:val="normaltextrun"/>
          <w:rFonts w:ascii="Arial" w:hAnsi="Arial" w:cs="Arial"/>
          <w:color w:val="000000"/>
        </w:rPr>
        <w:t> </w:t>
      </w:r>
      <w:r w:rsidR="00F21306">
        <w:rPr>
          <w:rStyle w:val="normaltextrun"/>
          <w:rFonts w:ascii="Aptos" w:hAnsi="Aptos" w:cs="Segoe UI"/>
          <w:color w:val="000000"/>
        </w:rPr>
        <w:t>Vanguard</w:t>
      </w:r>
      <w:r w:rsidR="00F21306">
        <w:rPr>
          <w:rStyle w:val="normaltextrun"/>
          <w:rFonts w:ascii="Arial" w:hAnsi="Arial" w:cs="Arial"/>
          <w:color w:val="000000"/>
        </w:rPr>
        <w:t> </w:t>
      </w:r>
      <w:r w:rsidR="00F21306">
        <w:rPr>
          <w:rStyle w:val="normaltextrun"/>
          <w:rFonts w:ascii="Aptos" w:hAnsi="Aptos" w:cs="Segoe UI"/>
          <w:color w:val="000000"/>
        </w:rPr>
        <w:t>přinesl na pražský rezidenční trh loftové bydlení s</w:t>
      </w:r>
      <w:r w:rsidR="005C611C">
        <w:rPr>
          <w:rStyle w:val="normaltextrun"/>
          <w:rFonts w:ascii="Aptos" w:hAnsi="Aptos" w:cs="Segoe UI"/>
          <w:color w:val="000000"/>
        </w:rPr>
        <w:t> </w:t>
      </w:r>
      <w:r w:rsidR="00F21306">
        <w:rPr>
          <w:rStyle w:val="normaltextrun"/>
          <w:rFonts w:ascii="Aptos" w:hAnsi="Aptos" w:cs="Segoe UI"/>
          <w:color w:val="000000"/>
        </w:rPr>
        <w:t>výhledy, službami na úrovni hotelu a architekturou odkazující k</w:t>
      </w:r>
      <w:r w:rsidR="005C611C">
        <w:rPr>
          <w:rStyle w:val="normaltextrun"/>
          <w:rFonts w:ascii="Aptos" w:hAnsi="Aptos" w:cs="Segoe UI"/>
          <w:color w:val="000000"/>
        </w:rPr>
        <w:t> </w:t>
      </w:r>
      <w:r w:rsidR="00F21306">
        <w:rPr>
          <w:rStyle w:val="normaltextrun"/>
          <w:rFonts w:ascii="Aptos" w:hAnsi="Aptos" w:cs="Segoe UI"/>
          <w:color w:val="000000"/>
        </w:rPr>
        <w:t>moderním metropolím. Vizuálně výrazná budova vznikla přestavbou někdejší továrny Microna a kromě atypických jednotek nabízí i wellness, fitness, střešní terasu či galerijní prostory. S instalací díla MEANDR získává další umělecký rozměr.</w:t>
      </w:r>
      <w:r w:rsidR="00F21306">
        <w:rPr>
          <w:rStyle w:val="eop"/>
          <w:rFonts w:ascii="Aptos" w:hAnsi="Aptos" w:cs="Segoe UI"/>
          <w:color w:val="000000"/>
        </w:rPr>
        <w:t> </w:t>
      </w:r>
    </w:p>
    <w:p w14:paraId="3D86ADE2" w14:textId="77777777" w:rsidR="00422B12" w:rsidRDefault="00422B12" w:rsidP="00F21306">
      <w:pPr>
        <w:pStyle w:val="paragraph"/>
        <w:spacing w:before="0" w:after="0"/>
        <w:jc w:val="both"/>
        <w:textAlignment w:val="baseline"/>
        <w:rPr>
          <w:rStyle w:val="normaltextrun"/>
          <w:rFonts w:ascii="Aptos" w:hAnsi="Aptos" w:cs="Segoe UI"/>
          <w:color w:val="000000"/>
        </w:rPr>
      </w:pPr>
    </w:p>
    <w:p w14:paraId="1FCF1611" w14:textId="10B9A8A0" w:rsidR="00F21306" w:rsidRDefault="00F21306" w:rsidP="00F21306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</w:rPr>
        <w:t xml:space="preserve">Více informací o projektu na </w:t>
      </w:r>
      <w:hyperlink r:id="rId14" w:tgtFrame="_blank" w:history="1">
        <w:r>
          <w:rPr>
            <w:rStyle w:val="normaltextrun"/>
            <w:rFonts w:ascii="Aptos" w:hAnsi="Aptos" w:cs="Segoe UI"/>
            <w:color w:val="467886"/>
            <w:u w:val="single"/>
          </w:rPr>
          <w:t>www.vanguardprague.cz</w:t>
        </w:r>
      </w:hyperlink>
      <w:r>
        <w:rPr>
          <w:rStyle w:val="eop"/>
          <w:rFonts w:ascii="Aptos" w:hAnsi="Aptos" w:cs="Segoe UI"/>
        </w:rPr>
        <w:t> </w:t>
      </w:r>
    </w:p>
    <w:p w14:paraId="668E55B4" w14:textId="77777777" w:rsidR="00F21306" w:rsidRDefault="00F21306" w:rsidP="00F21306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7D7AB7D3" w14:textId="77777777" w:rsidR="00F21306" w:rsidRDefault="00F21306" w:rsidP="00F21306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# # #</w:t>
      </w:r>
      <w:r>
        <w:rPr>
          <w:rStyle w:val="eop"/>
          <w:rFonts w:ascii="Aptos" w:hAnsi="Aptos" w:cs="Segoe UI"/>
        </w:rPr>
        <w:t> </w:t>
      </w:r>
    </w:p>
    <w:p w14:paraId="67EB06E5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lastRenderedPageBreak/>
        <w:t>O PSN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3E7478F3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  <w:sz w:val="20"/>
          <w:szCs w:val="20"/>
        </w:rPr>
        <w:t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na přeměně areálu Brno Jedna v Plynárenské ulici v moravské metropoli nebo připravuje výstavbu polyfunkční budovy na místě bývalého Transgasu v centru Prahy na Vinohradech, na které spolupracuje se společností Penta Real Estate. Loni zkolaudovala Vanguard Prague (revitalizaci původní továrny na 150 unikátních loftů) a novostavbu Ahoj Vanguard v jejím sousedství a realizuje např. novostavbu Rezidence Maroldka nebo butikový projekt rekonstrukcí domu na Vinohradské 160. Projektem Slunečný svah ve Špindlerově Mlýně vstoupila do segmentu rekreačního bydlení.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1550E27D" w14:textId="77777777" w:rsidR="00F21306" w:rsidRDefault="00F21306" w:rsidP="00F2130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  <w:sz w:val="20"/>
          <w:szCs w:val="20"/>
        </w:rPr>
        <w:t> 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5B0D9194" w14:textId="77777777" w:rsidR="00F21306" w:rsidRDefault="00F21306" w:rsidP="00F2130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Empiria na pražské Pankráci. V centru Pardubic na začátku roku 2024 zahájila rekonstrukci obchodního centra Grand ve funkcionalistickém paláci od architekta Josefa Gočára, který se již letos na podzim znovu otevře veřejnosti.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3296AF23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  <w:sz w:val="20"/>
          <w:szCs w:val="20"/>
        </w:rPr>
        <w:t> 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59C9996C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  <w:sz w:val="20"/>
          <w:szCs w:val="20"/>
        </w:rPr>
        <w:t>PSN je česká rodinná firma a šestinásobný držitel prestižního ocenění Best Managed Companies dle metodiky Deloitte.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260F978E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i/>
          <w:iCs/>
          <w:color w:val="000000"/>
          <w:sz w:val="20"/>
          <w:szCs w:val="20"/>
        </w:rPr>
        <w:t> 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3F35FBD3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color w:val="000000"/>
          <w:sz w:val="20"/>
          <w:szCs w:val="20"/>
        </w:rPr>
        <w:t>Kontakt pro média: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150AB44F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  <w:sz w:val="20"/>
          <w:szCs w:val="20"/>
        </w:rPr>
        <w:t xml:space="preserve">Martina Kalusová, </w:t>
      </w:r>
      <w:hyperlink r:id="rId15" w:tgtFrame="_blank" w:history="1">
        <w:r>
          <w:rPr>
            <w:rStyle w:val="normaltextrun"/>
            <w:rFonts w:ascii="Aptos" w:hAnsi="Aptos" w:cs="Segoe UI"/>
            <w:color w:val="954F72"/>
            <w:sz w:val="20"/>
            <w:szCs w:val="20"/>
            <w:u w:val="single"/>
          </w:rPr>
          <w:t>martina.kalusova@psn.cz</w:t>
        </w:r>
      </w:hyperlink>
      <w:r>
        <w:rPr>
          <w:rStyle w:val="normaltextrun"/>
          <w:rFonts w:ascii="Aptos" w:hAnsi="Aptos" w:cs="Segoe UI"/>
          <w:color w:val="000000"/>
          <w:sz w:val="20"/>
          <w:szCs w:val="20"/>
        </w:rPr>
        <w:t>, +420 720 519 511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56B3E854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color w:val="000000"/>
          <w:sz w:val="20"/>
          <w:szCs w:val="20"/>
          <w:lang w:val="es-ES"/>
        </w:rPr>
        <w:t xml:space="preserve">Marcela Kukaňová, </w:t>
      </w:r>
      <w:hyperlink r:id="rId16" w:tgtFrame="_blank" w:history="1">
        <w:r>
          <w:rPr>
            <w:rStyle w:val="normaltextrun"/>
            <w:rFonts w:ascii="Aptos" w:hAnsi="Aptos" w:cs="Segoe UI"/>
            <w:color w:val="954F72"/>
            <w:sz w:val="20"/>
            <w:szCs w:val="20"/>
            <w:u w:val="single"/>
            <w:lang w:val="es-ES"/>
          </w:rPr>
          <w:t>marcela.kukanova@crestcom.cz</w:t>
        </w:r>
      </w:hyperlink>
      <w:r>
        <w:rPr>
          <w:rStyle w:val="normaltextrun"/>
          <w:rFonts w:ascii="Aptos" w:hAnsi="Aptos" w:cs="Segoe UI"/>
          <w:color w:val="000000"/>
          <w:sz w:val="20"/>
          <w:szCs w:val="20"/>
          <w:lang w:val="es-ES"/>
        </w:rPr>
        <w:t>, +420 731 613 618</w:t>
      </w:r>
      <w:r>
        <w:rPr>
          <w:rStyle w:val="eop"/>
          <w:rFonts w:ascii="Aptos" w:hAnsi="Aptos" w:cs="Segoe UI"/>
          <w:color w:val="000000"/>
          <w:sz w:val="20"/>
          <w:szCs w:val="20"/>
        </w:rPr>
        <w:t> </w:t>
      </w:r>
    </w:p>
    <w:p w14:paraId="4EE4D01B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1083BC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039A9AAB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0"/>
          <w:szCs w:val="20"/>
        </w:rPr>
        <w:t> </w:t>
      </w:r>
    </w:p>
    <w:p w14:paraId="5D2C3DA7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5461DF7" w14:textId="77777777" w:rsidR="00F21306" w:rsidRDefault="00F21306" w:rsidP="00F21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2EFBC6E" w14:textId="33D95737" w:rsidR="00407D15" w:rsidRPr="00407D15" w:rsidRDefault="00407D15" w:rsidP="00407D15">
      <w:pPr>
        <w:pStyle w:val="Zpat"/>
        <w:rPr>
          <w:rFonts w:eastAsiaTheme="minorEastAsia"/>
          <w:sz w:val="20"/>
          <w:szCs w:val="20"/>
        </w:rPr>
      </w:pPr>
    </w:p>
    <w:sectPr w:rsidR="00407D15" w:rsidRPr="00407D15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D367" w14:textId="77777777" w:rsidR="00802A91" w:rsidRDefault="00802A91" w:rsidP="00434212">
      <w:r>
        <w:separator/>
      </w:r>
    </w:p>
  </w:endnote>
  <w:endnote w:type="continuationSeparator" w:id="0">
    <w:p w14:paraId="42EE6733" w14:textId="77777777" w:rsidR="00802A91" w:rsidRDefault="00802A91" w:rsidP="00434212">
      <w:r>
        <w:continuationSeparator/>
      </w:r>
    </w:p>
  </w:endnote>
  <w:endnote w:type="continuationNotice" w:id="1">
    <w:p w14:paraId="66187A32" w14:textId="77777777" w:rsidR="00802A91" w:rsidRDefault="00802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7F8F" w14:textId="77777777" w:rsidR="00802A91" w:rsidRDefault="00802A91" w:rsidP="00434212">
      <w:r>
        <w:separator/>
      </w:r>
    </w:p>
  </w:footnote>
  <w:footnote w:type="continuationSeparator" w:id="0">
    <w:p w14:paraId="3B0EF963" w14:textId="77777777" w:rsidR="00802A91" w:rsidRDefault="00802A91" w:rsidP="00434212">
      <w:r>
        <w:continuationSeparator/>
      </w:r>
    </w:p>
  </w:footnote>
  <w:footnote w:type="continuationNotice" w:id="1">
    <w:p w14:paraId="42E4CEDB" w14:textId="77777777" w:rsidR="00802A91" w:rsidRDefault="00802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45CD"/>
    <w:rsid w:val="00004D31"/>
    <w:rsid w:val="00005833"/>
    <w:rsid w:val="00005B24"/>
    <w:rsid w:val="00005D5D"/>
    <w:rsid w:val="00006248"/>
    <w:rsid w:val="00006E23"/>
    <w:rsid w:val="00006EEE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130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DF0"/>
    <w:rsid w:val="00096ECF"/>
    <w:rsid w:val="000974AD"/>
    <w:rsid w:val="0009759D"/>
    <w:rsid w:val="00097798"/>
    <w:rsid w:val="000A192F"/>
    <w:rsid w:val="000A319B"/>
    <w:rsid w:val="000A401A"/>
    <w:rsid w:val="000A4385"/>
    <w:rsid w:val="000A4C88"/>
    <w:rsid w:val="000A5426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F09"/>
    <w:rsid w:val="000B36A3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E0391"/>
    <w:rsid w:val="000E04C7"/>
    <w:rsid w:val="000E06B3"/>
    <w:rsid w:val="000E09F7"/>
    <w:rsid w:val="000E0DD4"/>
    <w:rsid w:val="000E1D50"/>
    <w:rsid w:val="000E1D66"/>
    <w:rsid w:val="000E2183"/>
    <w:rsid w:val="000E3139"/>
    <w:rsid w:val="000E4559"/>
    <w:rsid w:val="000E47E6"/>
    <w:rsid w:val="000E48AA"/>
    <w:rsid w:val="000E4979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111D"/>
    <w:rsid w:val="000F20FA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4043"/>
    <w:rsid w:val="001243F0"/>
    <w:rsid w:val="00124B84"/>
    <w:rsid w:val="00125170"/>
    <w:rsid w:val="00126238"/>
    <w:rsid w:val="001265F7"/>
    <w:rsid w:val="001273D4"/>
    <w:rsid w:val="00130872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EF"/>
    <w:rsid w:val="001544D1"/>
    <w:rsid w:val="00154AC2"/>
    <w:rsid w:val="00154BD9"/>
    <w:rsid w:val="0015650F"/>
    <w:rsid w:val="00156ABE"/>
    <w:rsid w:val="0016092B"/>
    <w:rsid w:val="00160A48"/>
    <w:rsid w:val="00160A62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E18FB"/>
    <w:rsid w:val="001E1D6F"/>
    <w:rsid w:val="001E25E0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AA7"/>
    <w:rsid w:val="001F4CE2"/>
    <w:rsid w:val="001F4F4A"/>
    <w:rsid w:val="001F50C9"/>
    <w:rsid w:val="001F5591"/>
    <w:rsid w:val="001F56B2"/>
    <w:rsid w:val="001F58B1"/>
    <w:rsid w:val="001F5D35"/>
    <w:rsid w:val="001F7A7B"/>
    <w:rsid w:val="001F7D8F"/>
    <w:rsid w:val="0020248F"/>
    <w:rsid w:val="0020259C"/>
    <w:rsid w:val="00202FE2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3DE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CA7"/>
    <w:rsid w:val="002C2A0B"/>
    <w:rsid w:val="002C356E"/>
    <w:rsid w:val="002C366C"/>
    <w:rsid w:val="002C513D"/>
    <w:rsid w:val="002C574E"/>
    <w:rsid w:val="002C61AB"/>
    <w:rsid w:val="002C67D5"/>
    <w:rsid w:val="002C680B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EAA"/>
    <w:rsid w:val="0040737A"/>
    <w:rsid w:val="0040773D"/>
    <w:rsid w:val="00407757"/>
    <w:rsid w:val="00407D15"/>
    <w:rsid w:val="00411271"/>
    <w:rsid w:val="004115BA"/>
    <w:rsid w:val="00413089"/>
    <w:rsid w:val="00413598"/>
    <w:rsid w:val="00413CF7"/>
    <w:rsid w:val="00413D31"/>
    <w:rsid w:val="00413E80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2B12"/>
    <w:rsid w:val="0042318B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C90"/>
    <w:rsid w:val="004560AA"/>
    <w:rsid w:val="0045697C"/>
    <w:rsid w:val="00457247"/>
    <w:rsid w:val="00457A82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2CDC"/>
    <w:rsid w:val="0047304E"/>
    <w:rsid w:val="00473181"/>
    <w:rsid w:val="004733F0"/>
    <w:rsid w:val="00474825"/>
    <w:rsid w:val="0047513A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F38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5E81"/>
    <w:rsid w:val="0053637E"/>
    <w:rsid w:val="00536CB0"/>
    <w:rsid w:val="00537220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C38"/>
    <w:rsid w:val="0056002C"/>
    <w:rsid w:val="00562AAD"/>
    <w:rsid w:val="0056348D"/>
    <w:rsid w:val="005635B0"/>
    <w:rsid w:val="00563BD6"/>
    <w:rsid w:val="00563F79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440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514D"/>
    <w:rsid w:val="005C611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6CA1"/>
    <w:rsid w:val="00607EE4"/>
    <w:rsid w:val="00610929"/>
    <w:rsid w:val="00611069"/>
    <w:rsid w:val="0061133B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BEE"/>
    <w:rsid w:val="0061753D"/>
    <w:rsid w:val="00617660"/>
    <w:rsid w:val="0061775F"/>
    <w:rsid w:val="00617784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7C6"/>
    <w:rsid w:val="00636B8E"/>
    <w:rsid w:val="00636F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42B3"/>
    <w:rsid w:val="006D4B6B"/>
    <w:rsid w:val="006D4EF5"/>
    <w:rsid w:val="006D6070"/>
    <w:rsid w:val="006D61FC"/>
    <w:rsid w:val="006D629E"/>
    <w:rsid w:val="006D650E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C57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E8"/>
    <w:rsid w:val="00750F63"/>
    <w:rsid w:val="00752382"/>
    <w:rsid w:val="00752FCE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676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2A91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EC6"/>
    <w:rsid w:val="0090640F"/>
    <w:rsid w:val="009069DF"/>
    <w:rsid w:val="00906A55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D50"/>
    <w:rsid w:val="009171A2"/>
    <w:rsid w:val="009204FF"/>
    <w:rsid w:val="00920DF0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3872"/>
    <w:rsid w:val="00943DBC"/>
    <w:rsid w:val="00944670"/>
    <w:rsid w:val="00944F94"/>
    <w:rsid w:val="00946861"/>
    <w:rsid w:val="00946DAE"/>
    <w:rsid w:val="00951A00"/>
    <w:rsid w:val="009520CC"/>
    <w:rsid w:val="0095210F"/>
    <w:rsid w:val="00952C85"/>
    <w:rsid w:val="00953C7F"/>
    <w:rsid w:val="00954585"/>
    <w:rsid w:val="009546A5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EE3"/>
    <w:rsid w:val="00994390"/>
    <w:rsid w:val="009947B9"/>
    <w:rsid w:val="00995031"/>
    <w:rsid w:val="00995811"/>
    <w:rsid w:val="00995EB8"/>
    <w:rsid w:val="00996445"/>
    <w:rsid w:val="009965E8"/>
    <w:rsid w:val="00997296"/>
    <w:rsid w:val="00997DEF"/>
    <w:rsid w:val="009A05CD"/>
    <w:rsid w:val="009A0939"/>
    <w:rsid w:val="009A09A5"/>
    <w:rsid w:val="009A0CF6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259C"/>
    <w:rsid w:val="009E2900"/>
    <w:rsid w:val="009E2CE4"/>
    <w:rsid w:val="009E37BB"/>
    <w:rsid w:val="009E3B07"/>
    <w:rsid w:val="009E46B1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5DD"/>
    <w:rsid w:val="00A23695"/>
    <w:rsid w:val="00A23F4C"/>
    <w:rsid w:val="00A24F7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30FC"/>
    <w:rsid w:val="00A4320D"/>
    <w:rsid w:val="00A447F2"/>
    <w:rsid w:val="00A44A1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49E"/>
    <w:rsid w:val="00A83006"/>
    <w:rsid w:val="00A835F7"/>
    <w:rsid w:val="00A836B0"/>
    <w:rsid w:val="00A83A78"/>
    <w:rsid w:val="00A84621"/>
    <w:rsid w:val="00A84A0E"/>
    <w:rsid w:val="00A84E11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D51"/>
    <w:rsid w:val="00A93E1D"/>
    <w:rsid w:val="00A93E8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150C"/>
    <w:rsid w:val="00AF24AC"/>
    <w:rsid w:val="00AF2A03"/>
    <w:rsid w:val="00AF3636"/>
    <w:rsid w:val="00AF467F"/>
    <w:rsid w:val="00AF4766"/>
    <w:rsid w:val="00AF5282"/>
    <w:rsid w:val="00AF52B6"/>
    <w:rsid w:val="00AF7307"/>
    <w:rsid w:val="00AF7A7A"/>
    <w:rsid w:val="00B00530"/>
    <w:rsid w:val="00B0063F"/>
    <w:rsid w:val="00B015C9"/>
    <w:rsid w:val="00B01E35"/>
    <w:rsid w:val="00B022FA"/>
    <w:rsid w:val="00B02498"/>
    <w:rsid w:val="00B029AF"/>
    <w:rsid w:val="00B02B98"/>
    <w:rsid w:val="00B038A7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247C"/>
    <w:rsid w:val="00B448DE"/>
    <w:rsid w:val="00B46FDB"/>
    <w:rsid w:val="00B475C7"/>
    <w:rsid w:val="00B476FE"/>
    <w:rsid w:val="00B47DE3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34E3"/>
    <w:rsid w:val="00B5380E"/>
    <w:rsid w:val="00B53D96"/>
    <w:rsid w:val="00B54535"/>
    <w:rsid w:val="00B55027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4A77"/>
    <w:rsid w:val="00B94AA8"/>
    <w:rsid w:val="00B95DBE"/>
    <w:rsid w:val="00B963AA"/>
    <w:rsid w:val="00B970B1"/>
    <w:rsid w:val="00B97A33"/>
    <w:rsid w:val="00B97DCC"/>
    <w:rsid w:val="00BA021F"/>
    <w:rsid w:val="00BA1581"/>
    <w:rsid w:val="00BA3C9A"/>
    <w:rsid w:val="00BA4266"/>
    <w:rsid w:val="00BA46B4"/>
    <w:rsid w:val="00BA4863"/>
    <w:rsid w:val="00BA4B45"/>
    <w:rsid w:val="00BA4BCB"/>
    <w:rsid w:val="00BA5200"/>
    <w:rsid w:val="00BA5774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48D5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10F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D0039"/>
    <w:rsid w:val="00CD06B0"/>
    <w:rsid w:val="00CD1F24"/>
    <w:rsid w:val="00CD1FC1"/>
    <w:rsid w:val="00CD2332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7006"/>
    <w:rsid w:val="00D57289"/>
    <w:rsid w:val="00D5771C"/>
    <w:rsid w:val="00D57A1C"/>
    <w:rsid w:val="00D60424"/>
    <w:rsid w:val="00D60A97"/>
    <w:rsid w:val="00D610BB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67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42D9"/>
    <w:rsid w:val="00DD5092"/>
    <w:rsid w:val="00DD5956"/>
    <w:rsid w:val="00DE02E2"/>
    <w:rsid w:val="00DE29A4"/>
    <w:rsid w:val="00DE2CA3"/>
    <w:rsid w:val="00DE3BB8"/>
    <w:rsid w:val="00DE3F0B"/>
    <w:rsid w:val="00DE4DBB"/>
    <w:rsid w:val="00DE5529"/>
    <w:rsid w:val="00DE5F35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A93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8B3"/>
    <w:rsid w:val="00E83ABA"/>
    <w:rsid w:val="00E84AE1"/>
    <w:rsid w:val="00E84D9F"/>
    <w:rsid w:val="00E856B6"/>
    <w:rsid w:val="00E857A8"/>
    <w:rsid w:val="00E85A96"/>
    <w:rsid w:val="00E86092"/>
    <w:rsid w:val="00E86889"/>
    <w:rsid w:val="00E8699C"/>
    <w:rsid w:val="00E86DD9"/>
    <w:rsid w:val="00E86F4A"/>
    <w:rsid w:val="00E8702B"/>
    <w:rsid w:val="00E90188"/>
    <w:rsid w:val="00E907B9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4C74"/>
    <w:rsid w:val="00EE5006"/>
    <w:rsid w:val="00EE5FA8"/>
    <w:rsid w:val="00EE636B"/>
    <w:rsid w:val="00EE71A0"/>
    <w:rsid w:val="00EE7607"/>
    <w:rsid w:val="00EF0BD7"/>
    <w:rsid w:val="00EF0F70"/>
    <w:rsid w:val="00EF14AC"/>
    <w:rsid w:val="00EF18E8"/>
    <w:rsid w:val="00EF1CEF"/>
    <w:rsid w:val="00EF1DDB"/>
    <w:rsid w:val="00EF1DF3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306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82A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DC7"/>
    <w:rsid w:val="00F96A74"/>
    <w:rsid w:val="00F97232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CE6"/>
    <w:rsid w:val="00FE1EEC"/>
    <w:rsid w:val="00FE20EF"/>
    <w:rsid w:val="00FE238D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6BAC"/>
    <w:rsid w:val="00FF7092"/>
    <w:rsid w:val="00FF714A"/>
    <w:rsid w:val="00FF73F9"/>
    <w:rsid w:val="0533F230"/>
    <w:rsid w:val="06E01773"/>
    <w:rsid w:val="0907B843"/>
    <w:rsid w:val="0A3EB7F4"/>
    <w:rsid w:val="0EB9F509"/>
    <w:rsid w:val="0F99FB00"/>
    <w:rsid w:val="11086DA8"/>
    <w:rsid w:val="11584817"/>
    <w:rsid w:val="11885D78"/>
    <w:rsid w:val="119FA656"/>
    <w:rsid w:val="13479322"/>
    <w:rsid w:val="148268BD"/>
    <w:rsid w:val="1815C20B"/>
    <w:rsid w:val="1918930D"/>
    <w:rsid w:val="1CD2A069"/>
    <w:rsid w:val="1CF3AB58"/>
    <w:rsid w:val="1FA12C4D"/>
    <w:rsid w:val="20FB3D68"/>
    <w:rsid w:val="229123E3"/>
    <w:rsid w:val="26ECF66C"/>
    <w:rsid w:val="2A5EEDD0"/>
    <w:rsid w:val="2DE6FCB0"/>
    <w:rsid w:val="2EAEDFB4"/>
    <w:rsid w:val="30AB7FA9"/>
    <w:rsid w:val="31E9EE55"/>
    <w:rsid w:val="3271E7D8"/>
    <w:rsid w:val="35790D61"/>
    <w:rsid w:val="35B6C4C0"/>
    <w:rsid w:val="3600C1E0"/>
    <w:rsid w:val="36AC4EA2"/>
    <w:rsid w:val="37C373A3"/>
    <w:rsid w:val="3805E2C2"/>
    <w:rsid w:val="3859C786"/>
    <w:rsid w:val="3A7FB0F3"/>
    <w:rsid w:val="3B03C909"/>
    <w:rsid w:val="3B951D09"/>
    <w:rsid w:val="3CCD00CD"/>
    <w:rsid w:val="3E1E740C"/>
    <w:rsid w:val="40497A67"/>
    <w:rsid w:val="40CDC888"/>
    <w:rsid w:val="423CCE80"/>
    <w:rsid w:val="428C6A61"/>
    <w:rsid w:val="42ECA171"/>
    <w:rsid w:val="43E8499F"/>
    <w:rsid w:val="47FB2BAA"/>
    <w:rsid w:val="4974A722"/>
    <w:rsid w:val="4C778926"/>
    <w:rsid w:val="4E9533AA"/>
    <w:rsid w:val="4EF6D768"/>
    <w:rsid w:val="4F06E5A7"/>
    <w:rsid w:val="4FB84209"/>
    <w:rsid w:val="50AAA09D"/>
    <w:rsid w:val="527903E6"/>
    <w:rsid w:val="538296C8"/>
    <w:rsid w:val="545A6848"/>
    <w:rsid w:val="55E5EFE6"/>
    <w:rsid w:val="562172E6"/>
    <w:rsid w:val="59431A96"/>
    <w:rsid w:val="59FBF9BC"/>
    <w:rsid w:val="5BF8F949"/>
    <w:rsid w:val="5C9F32DB"/>
    <w:rsid w:val="5EC339ED"/>
    <w:rsid w:val="62AA566E"/>
    <w:rsid w:val="651E5AD8"/>
    <w:rsid w:val="67E68028"/>
    <w:rsid w:val="6818288C"/>
    <w:rsid w:val="68A3D191"/>
    <w:rsid w:val="68EDC127"/>
    <w:rsid w:val="69DFD6A5"/>
    <w:rsid w:val="6AD98541"/>
    <w:rsid w:val="6D527D21"/>
    <w:rsid w:val="6F643FBD"/>
    <w:rsid w:val="6F6A89DC"/>
    <w:rsid w:val="6F7636FD"/>
    <w:rsid w:val="7061ED2C"/>
    <w:rsid w:val="72E9BDAC"/>
    <w:rsid w:val="768444A6"/>
    <w:rsid w:val="796A584F"/>
    <w:rsid w:val="7ACACD46"/>
    <w:rsid w:val="7D21C964"/>
    <w:rsid w:val="7D8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0F6A0491-0589-419A-ADF8-292A2918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F5491"/>
    <w:pPr>
      <w:spacing w:before="100" w:beforeAutospacing="1" w:after="100" w:afterAutospacing="1"/>
    </w:p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C648D5"/>
    <w:rPr>
      <w:i/>
      <w:iCs/>
    </w:rPr>
  </w:style>
  <w:style w:type="character" w:customStyle="1" w:styleId="scxw101899781">
    <w:name w:val="scxw101899781"/>
    <w:basedOn w:val="Standardnpsmoodstavce"/>
    <w:rsid w:val="00F2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as.kofron@adison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artina.kalusova@psn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anguardpragu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32E14D-6F93-424B-85BC-E2AFBA3DF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494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Marcela Kukaňová</cp:lastModifiedBy>
  <cp:revision>43</cp:revision>
  <cp:lastPrinted>2025-03-10T11:18:00Z</cp:lastPrinted>
  <dcterms:created xsi:type="dcterms:W3CDTF">2025-04-07T10:14:00Z</dcterms:created>
  <dcterms:modified xsi:type="dcterms:W3CDTF">2025-09-09T21:10:00Z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